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A5D71" w14:textId="77777777" w:rsidR="001D5AC2" w:rsidRPr="001D5AC2" w:rsidRDefault="001D5AC2" w:rsidP="001D5AC2">
      <w:pPr>
        <w:spacing w:line="540" w:lineRule="exact"/>
        <w:ind w:right="640"/>
        <w:jc w:val="center"/>
        <w:rPr>
          <w:rFonts w:ascii="宋体" w:eastAsia="宋体" w:hAnsi="宋体"/>
          <w:b/>
          <w:sz w:val="30"/>
          <w:szCs w:val="30"/>
        </w:rPr>
      </w:pPr>
      <w:r w:rsidRPr="001D5AC2">
        <w:rPr>
          <w:rFonts w:ascii="宋体" w:eastAsia="宋体" w:hAnsi="宋体" w:hint="eastAsia"/>
          <w:b/>
          <w:sz w:val="30"/>
          <w:szCs w:val="30"/>
        </w:rPr>
        <w:t>基金回访确认书</w:t>
      </w:r>
    </w:p>
    <w:p w14:paraId="320FADC4" w14:textId="77777777" w:rsidR="001D5AC2" w:rsidRPr="001D5AC2" w:rsidRDefault="001D5AC2" w:rsidP="001D5AC2">
      <w:pPr>
        <w:spacing w:line="540" w:lineRule="exact"/>
        <w:ind w:right="640"/>
        <w:jc w:val="center"/>
        <w:rPr>
          <w:rFonts w:ascii="宋体" w:eastAsia="宋体" w:hAnsi="宋体"/>
          <w:sz w:val="18"/>
          <w:szCs w:val="18"/>
        </w:rPr>
      </w:pPr>
      <w:r w:rsidRPr="001D5AC2">
        <w:rPr>
          <w:rFonts w:ascii="宋体" w:eastAsia="宋体" w:hAnsi="宋体" w:hint="eastAsia"/>
          <w:sz w:val="18"/>
          <w:szCs w:val="18"/>
        </w:rPr>
        <w:t>（</w:t>
      </w:r>
      <w:r w:rsidR="0013302B">
        <w:rPr>
          <w:rFonts w:ascii="宋体" w:eastAsia="宋体" w:hAnsi="宋体" w:hint="eastAsia"/>
          <w:sz w:val="18"/>
          <w:szCs w:val="18"/>
        </w:rPr>
        <w:t>XX</w:t>
      </w:r>
      <w:r w:rsidRPr="001D5AC2">
        <w:rPr>
          <w:rFonts w:ascii="宋体" w:eastAsia="宋体" w:hAnsi="宋体" w:hint="eastAsia"/>
          <w:sz w:val="18"/>
          <w:szCs w:val="18"/>
        </w:rPr>
        <w:t>壹号私募股权投资基金）</w:t>
      </w:r>
    </w:p>
    <w:p w14:paraId="1E89F965" w14:textId="77777777" w:rsidR="001D5AC2" w:rsidRDefault="001D5AC2" w:rsidP="001D5AC2">
      <w:pPr>
        <w:spacing w:line="540" w:lineRule="exact"/>
        <w:ind w:right="640"/>
        <w:rPr>
          <w:rFonts w:ascii="宋体" w:eastAsia="宋体" w:hAnsi="宋体"/>
          <w:sz w:val="24"/>
          <w:szCs w:val="24"/>
        </w:rPr>
      </w:pPr>
    </w:p>
    <w:p w14:paraId="2E314C38" w14:textId="77777777" w:rsid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投资者：</w:t>
      </w:r>
      <w:r w:rsidR="0013302B">
        <w:rPr>
          <w:rFonts w:ascii="宋体" w:eastAsia="宋体" w:hAnsi="宋体"/>
          <w:sz w:val="24"/>
          <w:szCs w:val="24"/>
        </w:rPr>
        <w:t xml:space="preserve"> </w:t>
      </w:r>
    </w:p>
    <w:p w14:paraId="3445C07C" w14:textId="77777777" w:rsid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身份证号：</w:t>
      </w:r>
    </w:p>
    <w:p w14:paraId="72F61B1A" w14:textId="77777777" w:rsidR="001D5AC2" w:rsidRDefault="001D5AC2" w:rsidP="001D5AC2">
      <w:pPr>
        <w:spacing w:line="540" w:lineRule="exact"/>
        <w:ind w:right="640"/>
        <w:rPr>
          <w:rFonts w:ascii="宋体" w:eastAsia="宋体" w:hAnsi="宋体"/>
          <w:sz w:val="24"/>
          <w:szCs w:val="24"/>
        </w:rPr>
      </w:pPr>
    </w:p>
    <w:p w14:paraId="667AAE47" w14:textId="77777777" w:rsid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经过二十四小时的投资冷静期后，投资者对投资行为进行再次确认如下：</w:t>
      </w:r>
    </w:p>
    <w:p w14:paraId="0B7CC11F" w14:textId="272D5269" w:rsidR="001D5AC2" w:rsidRP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1、本人为</w:t>
      </w:r>
      <w:r w:rsidR="0070346A">
        <w:rPr>
          <w:rFonts w:ascii="宋体" w:eastAsia="宋体" w:hAnsi="宋体"/>
          <w:sz w:val="24"/>
          <w:szCs w:val="24"/>
        </w:rPr>
        <w:t>XX</w:t>
      </w:r>
      <w:r>
        <w:rPr>
          <w:rFonts w:ascii="宋体" w:eastAsia="宋体" w:hAnsi="宋体" w:hint="eastAsia"/>
          <w:sz w:val="24"/>
          <w:szCs w:val="24"/>
        </w:rPr>
        <w:t>壹号私募股权基金</w:t>
      </w:r>
      <w:r w:rsidRPr="001D5AC2">
        <w:rPr>
          <w:rFonts w:ascii="宋体" w:eastAsia="宋体" w:hAnsi="宋体" w:hint="eastAsia"/>
          <w:sz w:val="24"/>
          <w:szCs w:val="24"/>
        </w:rPr>
        <w:t>投资者本人；</w:t>
      </w:r>
    </w:p>
    <w:p w14:paraId="4C09883F" w14:textId="77777777" w:rsidR="001D5AC2" w:rsidRP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2、本人已在购买的基金产品上亲笔签名或盖章，且是</w:t>
      </w:r>
      <w:r w:rsidRPr="001D5AC2">
        <w:rPr>
          <w:rFonts w:ascii="宋体" w:eastAsia="宋体" w:hAnsi="宋体" w:hint="eastAsia"/>
          <w:sz w:val="24"/>
          <w:szCs w:val="24"/>
        </w:rPr>
        <w:t>为自己购买了该基金产品；</w:t>
      </w:r>
    </w:p>
    <w:p w14:paraId="24BCA564" w14:textId="77777777" w:rsidR="001D5AC2" w:rsidRP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3、本人</w:t>
      </w:r>
      <w:r w:rsidRPr="001D5AC2">
        <w:rPr>
          <w:rFonts w:ascii="宋体" w:eastAsia="宋体" w:hAnsi="宋体" w:hint="eastAsia"/>
          <w:sz w:val="24"/>
          <w:szCs w:val="24"/>
        </w:rPr>
        <w:t>已经阅读并理解基金合同和风险揭示的内容；</w:t>
      </w:r>
    </w:p>
    <w:p w14:paraId="7421B242" w14:textId="77777777" w:rsidR="001D5AC2" w:rsidRPr="001D5AC2" w:rsidRDefault="001D5AC2" w:rsidP="001D5AC2">
      <w:pPr>
        <w:spacing w:line="540" w:lineRule="exact"/>
        <w:ind w:right="640"/>
        <w:rPr>
          <w:rFonts w:ascii="宋体" w:eastAsia="宋体" w:hAnsi="宋体"/>
          <w:sz w:val="24"/>
          <w:szCs w:val="24"/>
        </w:rPr>
      </w:pPr>
      <w:r>
        <w:rPr>
          <w:rFonts w:ascii="宋体" w:eastAsia="宋体" w:hAnsi="宋体" w:hint="eastAsia"/>
          <w:sz w:val="24"/>
          <w:szCs w:val="24"/>
        </w:rPr>
        <w:t>4、本人与本基金产品所要求的</w:t>
      </w:r>
      <w:r w:rsidRPr="001D5AC2">
        <w:rPr>
          <w:rFonts w:ascii="宋体" w:eastAsia="宋体" w:hAnsi="宋体" w:hint="eastAsia"/>
          <w:sz w:val="24"/>
          <w:szCs w:val="24"/>
        </w:rPr>
        <w:t>风险识别能力及风险承担能力相匹配</w:t>
      </w:r>
      <w:r>
        <w:rPr>
          <w:rFonts w:ascii="宋体" w:eastAsia="宋体" w:hAnsi="宋体" w:hint="eastAsia"/>
          <w:sz w:val="24"/>
          <w:szCs w:val="24"/>
        </w:rPr>
        <w:t>，对本基金的各类风险有明确的认识并愿意为可能的风险承担责任</w:t>
      </w:r>
      <w:r w:rsidRPr="001D5AC2">
        <w:rPr>
          <w:rFonts w:ascii="宋体" w:eastAsia="宋体" w:hAnsi="宋体" w:hint="eastAsia"/>
          <w:sz w:val="24"/>
          <w:szCs w:val="24"/>
        </w:rPr>
        <w:t>；</w:t>
      </w:r>
    </w:p>
    <w:p w14:paraId="4BC09260" w14:textId="77777777" w:rsidR="001D5AC2" w:rsidRPr="001D5AC2" w:rsidRDefault="002E5021" w:rsidP="001D5AC2">
      <w:pPr>
        <w:spacing w:line="540" w:lineRule="exact"/>
        <w:ind w:right="640"/>
        <w:rPr>
          <w:rFonts w:ascii="宋体" w:eastAsia="宋体" w:hAnsi="宋体"/>
          <w:sz w:val="24"/>
          <w:szCs w:val="24"/>
        </w:rPr>
      </w:pPr>
      <w:r>
        <w:rPr>
          <w:rFonts w:ascii="宋体" w:eastAsia="宋体" w:hAnsi="宋体" w:hint="eastAsia"/>
          <w:sz w:val="24"/>
          <w:szCs w:val="24"/>
        </w:rPr>
        <w:t>5、本人对</w:t>
      </w:r>
      <w:r w:rsidR="001D5AC2" w:rsidRPr="001D5AC2">
        <w:rPr>
          <w:rFonts w:ascii="宋体" w:eastAsia="宋体" w:hAnsi="宋体" w:hint="eastAsia"/>
          <w:sz w:val="24"/>
          <w:szCs w:val="24"/>
        </w:rPr>
        <w:t>投资者承担的主要费用及费率，投资者的重要权利、私募基金信息披露的内容、方式及频率</w:t>
      </w:r>
      <w:r>
        <w:rPr>
          <w:rFonts w:ascii="宋体" w:eastAsia="宋体" w:hAnsi="宋体" w:hint="eastAsia"/>
          <w:sz w:val="24"/>
          <w:szCs w:val="24"/>
        </w:rPr>
        <w:t>等已经进行了详细了解</w:t>
      </w:r>
      <w:r w:rsidR="001D5AC2" w:rsidRPr="001D5AC2">
        <w:rPr>
          <w:rFonts w:ascii="宋体" w:eastAsia="宋体" w:hAnsi="宋体" w:hint="eastAsia"/>
          <w:sz w:val="24"/>
          <w:szCs w:val="24"/>
        </w:rPr>
        <w:t>；</w:t>
      </w:r>
    </w:p>
    <w:p w14:paraId="35BC4537" w14:textId="77777777" w:rsidR="001D5AC2" w:rsidRPr="001D5AC2" w:rsidRDefault="00E7528D" w:rsidP="001D5AC2">
      <w:pPr>
        <w:spacing w:line="540" w:lineRule="exact"/>
        <w:ind w:right="640"/>
        <w:rPr>
          <w:rFonts w:ascii="宋体" w:eastAsia="宋体" w:hAnsi="宋体"/>
          <w:sz w:val="24"/>
          <w:szCs w:val="24"/>
        </w:rPr>
      </w:pPr>
      <w:r>
        <w:rPr>
          <w:rFonts w:ascii="宋体" w:eastAsia="宋体" w:hAnsi="宋体" w:hint="eastAsia"/>
          <w:sz w:val="24"/>
          <w:szCs w:val="24"/>
        </w:rPr>
        <w:t>6、投资有风险，本人愿意承担未来可能出现的全部</w:t>
      </w:r>
      <w:r w:rsidR="001D5AC2" w:rsidRPr="001D5AC2">
        <w:rPr>
          <w:rFonts w:ascii="宋体" w:eastAsia="宋体" w:hAnsi="宋体" w:hint="eastAsia"/>
          <w:sz w:val="24"/>
          <w:szCs w:val="24"/>
        </w:rPr>
        <w:t>投资损失；</w:t>
      </w:r>
    </w:p>
    <w:p w14:paraId="12B82EBE" w14:textId="77777777" w:rsidR="001D5AC2" w:rsidRPr="001D5AC2" w:rsidRDefault="00E7528D" w:rsidP="001D5AC2">
      <w:pPr>
        <w:spacing w:line="540" w:lineRule="exact"/>
        <w:ind w:right="640"/>
        <w:rPr>
          <w:rFonts w:ascii="宋体" w:eastAsia="宋体" w:hAnsi="宋体"/>
          <w:sz w:val="24"/>
          <w:szCs w:val="24"/>
        </w:rPr>
      </w:pPr>
      <w:r>
        <w:rPr>
          <w:rFonts w:ascii="宋体" w:eastAsia="宋体" w:hAnsi="宋体" w:hint="eastAsia"/>
          <w:sz w:val="24"/>
          <w:szCs w:val="24"/>
        </w:rPr>
        <w:t>7、完成合规投资者确认后24小时内为投资冷静期，投资者有权在此期间要求全部返还投资款。本人已</w:t>
      </w:r>
      <w:r w:rsidR="001D5AC2" w:rsidRPr="001D5AC2">
        <w:rPr>
          <w:rFonts w:ascii="宋体" w:eastAsia="宋体" w:hAnsi="宋体" w:hint="eastAsia"/>
          <w:sz w:val="24"/>
          <w:szCs w:val="24"/>
        </w:rPr>
        <w:t>知悉</w:t>
      </w:r>
      <w:r>
        <w:rPr>
          <w:rFonts w:ascii="宋体" w:eastAsia="宋体" w:hAnsi="宋体" w:hint="eastAsia"/>
          <w:sz w:val="24"/>
          <w:szCs w:val="24"/>
        </w:rPr>
        <w:t>前述</w:t>
      </w:r>
      <w:r w:rsidR="001D5AC2" w:rsidRPr="001D5AC2">
        <w:rPr>
          <w:rFonts w:ascii="宋体" w:eastAsia="宋体" w:hAnsi="宋体" w:hint="eastAsia"/>
          <w:sz w:val="24"/>
          <w:szCs w:val="24"/>
        </w:rPr>
        <w:t>投资冷静期的起算时间、期间以及享有的权利；</w:t>
      </w:r>
    </w:p>
    <w:p w14:paraId="3EE5E7BF" w14:textId="77777777" w:rsidR="007859A5" w:rsidRDefault="00E7528D" w:rsidP="001D5AC2">
      <w:pPr>
        <w:spacing w:line="540" w:lineRule="exact"/>
        <w:ind w:right="640"/>
        <w:rPr>
          <w:rFonts w:ascii="宋体" w:eastAsia="宋体" w:hAnsi="宋体"/>
          <w:sz w:val="24"/>
          <w:szCs w:val="24"/>
        </w:rPr>
      </w:pPr>
      <w:r>
        <w:rPr>
          <w:rFonts w:ascii="宋体" w:eastAsia="宋体" w:hAnsi="宋体" w:hint="eastAsia"/>
          <w:sz w:val="24"/>
          <w:szCs w:val="24"/>
        </w:rPr>
        <w:t>8</w:t>
      </w:r>
      <w:r w:rsidR="00190554">
        <w:rPr>
          <w:rFonts w:ascii="宋体" w:eastAsia="宋体" w:hAnsi="宋体" w:hint="eastAsia"/>
          <w:sz w:val="24"/>
          <w:szCs w:val="24"/>
        </w:rPr>
        <w:t>、本人知悉对于纠纷可通过协商调解、仲裁、诉讼等方式进行解决；</w:t>
      </w:r>
    </w:p>
    <w:p w14:paraId="14F8511F" w14:textId="77777777" w:rsidR="00190554" w:rsidRPr="00190554" w:rsidRDefault="00190554" w:rsidP="00190554">
      <w:pPr>
        <w:spacing w:line="540" w:lineRule="exact"/>
        <w:ind w:right="640"/>
        <w:rPr>
          <w:rFonts w:ascii="宋体" w:eastAsia="宋体" w:hAnsi="宋体"/>
          <w:sz w:val="24"/>
          <w:szCs w:val="24"/>
        </w:rPr>
      </w:pPr>
      <w:r>
        <w:rPr>
          <w:rFonts w:ascii="宋体" w:eastAsia="宋体" w:hAnsi="宋体" w:hint="eastAsia"/>
          <w:sz w:val="24"/>
          <w:szCs w:val="24"/>
        </w:rPr>
        <w:t>9、本人确认</w:t>
      </w:r>
      <w:r w:rsidRPr="00190554">
        <w:rPr>
          <w:rFonts w:ascii="宋体" w:eastAsia="宋体" w:hAnsi="宋体" w:hint="eastAsia"/>
          <w:sz w:val="24"/>
          <w:szCs w:val="24"/>
        </w:rPr>
        <w:t>募集机构</w:t>
      </w:r>
      <w:r>
        <w:rPr>
          <w:rFonts w:ascii="宋体" w:eastAsia="宋体" w:hAnsi="宋体" w:hint="eastAsia"/>
          <w:sz w:val="24"/>
          <w:szCs w:val="24"/>
        </w:rPr>
        <w:t>在本次募集过程中不存在</w:t>
      </w:r>
      <w:r w:rsidRPr="00190554">
        <w:rPr>
          <w:rFonts w:ascii="宋体" w:eastAsia="宋体" w:hAnsi="宋体" w:hint="eastAsia"/>
          <w:sz w:val="24"/>
          <w:szCs w:val="24"/>
        </w:rPr>
        <w:t>下列</w:t>
      </w:r>
      <w:r>
        <w:rPr>
          <w:rFonts w:ascii="宋体" w:eastAsia="宋体" w:hAnsi="宋体" w:hint="eastAsia"/>
          <w:sz w:val="24"/>
          <w:szCs w:val="24"/>
        </w:rPr>
        <w:t>行为</w:t>
      </w:r>
      <w:r w:rsidRPr="00190554">
        <w:rPr>
          <w:rFonts w:ascii="宋体" w:eastAsia="宋体" w:hAnsi="宋体" w:hint="eastAsia"/>
          <w:sz w:val="24"/>
          <w:szCs w:val="24"/>
        </w:rPr>
        <w:t>：</w:t>
      </w:r>
    </w:p>
    <w:p w14:paraId="154CD7B9" w14:textId="77777777" w:rsidR="00190554" w:rsidRPr="00190554" w:rsidRDefault="00190554" w:rsidP="00546BB8">
      <w:pPr>
        <w:spacing w:line="540" w:lineRule="exact"/>
        <w:ind w:right="640"/>
        <w:rPr>
          <w:rFonts w:ascii="宋体" w:eastAsia="宋体" w:hAnsi="宋体"/>
          <w:sz w:val="24"/>
          <w:szCs w:val="24"/>
        </w:rPr>
      </w:pPr>
      <w:r w:rsidRPr="00190554">
        <w:rPr>
          <w:rFonts w:ascii="宋体" w:eastAsia="宋体" w:hAnsi="宋体" w:hint="eastAsia"/>
          <w:sz w:val="24"/>
          <w:szCs w:val="24"/>
        </w:rPr>
        <w:t>（一）</w:t>
      </w:r>
      <w:r w:rsidR="00546BB8" w:rsidRPr="00546BB8">
        <w:rPr>
          <w:rFonts w:ascii="宋体" w:eastAsia="宋体" w:hAnsi="宋体" w:hint="eastAsia"/>
          <w:sz w:val="24"/>
          <w:szCs w:val="24"/>
        </w:rPr>
        <w:t>向不符合准入要求的投资者销售产品或者提供服务</w:t>
      </w:r>
      <w:r w:rsidRPr="00190554">
        <w:rPr>
          <w:rFonts w:ascii="宋体" w:eastAsia="宋体" w:hAnsi="宋体" w:hint="eastAsia"/>
          <w:sz w:val="24"/>
          <w:szCs w:val="24"/>
        </w:rPr>
        <w:t>；</w:t>
      </w:r>
    </w:p>
    <w:p w14:paraId="3FFC964B" w14:textId="77777777" w:rsidR="00190554" w:rsidRPr="00190554" w:rsidRDefault="00190554" w:rsidP="00546BB8">
      <w:pPr>
        <w:spacing w:line="540" w:lineRule="exact"/>
        <w:ind w:right="640"/>
        <w:rPr>
          <w:rFonts w:ascii="宋体" w:eastAsia="宋体" w:hAnsi="宋体"/>
          <w:sz w:val="24"/>
          <w:szCs w:val="24"/>
        </w:rPr>
      </w:pPr>
      <w:r w:rsidRPr="00190554">
        <w:rPr>
          <w:rFonts w:ascii="宋体" w:eastAsia="宋体" w:hAnsi="宋体" w:hint="eastAsia"/>
          <w:sz w:val="24"/>
          <w:szCs w:val="24"/>
        </w:rPr>
        <w:t>（二）</w:t>
      </w:r>
      <w:r w:rsidR="00546BB8" w:rsidRPr="00546BB8">
        <w:rPr>
          <w:rFonts w:ascii="宋体" w:eastAsia="宋体" w:hAnsi="宋体" w:hint="eastAsia"/>
          <w:sz w:val="24"/>
          <w:szCs w:val="24"/>
        </w:rPr>
        <w:t>向投资者就不确定事项提供确定性的判断，或者告知投资者有可能使其误认为具有确定性的意见</w:t>
      </w:r>
      <w:r w:rsidRPr="00190554">
        <w:rPr>
          <w:rFonts w:ascii="宋体" w:eastAsia="宋体" w:hAnsi="宋体" w:hint="eastAsia"/>
          <w:sz w:val="24"/>
          <w:szCs w:val="24"/>
        </w:rPr>
        <w:t>；</w:t>
      </w:r>
    </w:p>
    <w:p w14:paraId="581E9D07" w14:textId="77777777" w:rsidR="00546BB8" w:rsidRP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（三）向普通投资者主动推介风险等级高于其风险承受能力的产品或者服</w:t>
      </w:r>
      <w:r w:rsidRPr="00546BB8">
        <w:rPr>
          <w:rFonts w:ascii="宋体" w:eastAsia="宋体" w:hAnsi="宋体" w:hint="eastAsia"/>
          <w:sz w:val="24"/>
          <w:szCs w:val="24"/>
        </w:rPr>
        <w:lastRenderedPageBreak/>
        <w:t>务；</w:t>
      </w:r>
    </w:p>
    <w:p w14:paraId="297AF0F5" w14:textId="77777777" w:rsidR="00546BB8" w:rsidRP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（四）向普通投资者主动推介不符合其投资目标的产品或者服务；</w:t>
      </w:r>
    </w:p>
    <w:p w14:paraId="6C7AB18E" w14:textId="77777777" w:rsidR="00546BB8" w:rsidRP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（五）向风险承受能力最低类别的投资者销售或者提供风险等级高于其风险承受能力的产品或者服务；</w:t>
      </w:r>
    </w:p>
    <w:p w14:paraId="39FA8A86" w14:textId="77777777" w:rsidR="00C124FD"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（六）其他违背适当性要求，损害投资者合法权益的行为。</w:t>
      </w:r>
    </w:p>
    <w:p w14:paraId="5BA10CEC" w14:textId="77777777" w:rsidR="00190554" w:rsidRDefault="00190554" w:rsidP="001D5AC2">
      <w:pPr>
        <w:spacing w:line="540" w:lineRule="exact"/>
        <w:ind w:right="640"/>
        <w:rPr>
          <w:rFonts w:ascii="宋体" w:eastAsia="宋体" w:hAnsi="宋体"/>
          <w:sz w:val="24"/>
          <w:szCs w:val="24"/>
        </w:rPr>
      </w:pPr>
    </w:p>
    <w:p w14:paraId="4C799632" w14:textId="77777777" w:rsidR="00190554" w:rsidRDefault="00190554" w:rsidP="001D5AC2">
      <w:pPr>
        <w:spacing w:line="540" w:lineRule="exact"/>
        <w:ind w:right="640"/>
        <w:rPr>
          <w:rFonts w:ascii="宋体" w:eastAsia="宋体" w:hAnsi="宋体"/>
          <w:sz w:val="24"/>
          <w:szCs w:val="24"/>
        </w:rPr>
      </w:pPr>
    </w:p>
    <w:p w14:paraId="6F83DB8C" w14:textId="77777777" w:rsidR="00C124FD" w:rsidRDefault="00C124FD" w:rsidP="001D5AC2">
      <w:pPr>
        <w:spacing w:line="540" w:lineRule="exact"/>
        <w:ind w:right="640"/>
        <w:rPr>
          <w:rFonts w:ascii="宋体" w:eastAsia="宋体" w:hAnsi="宋体"/>
          <w:sz w:val="24"/>
          <w:szCs w:val="24"/>
        </w:rPr>
      </w:pPr>
      <w:r>
        <w:rPr>
          <w:rFonts w:ascii="宋体" w:eastAsia="宋体" w:hAnsi="宋体" w:hint="eastAsia"/>
          <w:sz w:val="24"/>
          <w:szCs w:val="24"/>
        </w:rPr>
        <w:t>投资者签字确认：</w:t>
      </w:r>
    </w:p>
    <w:p w14:paraId="308A6C77" w14:textId="77777777" w:rsidR="00C124FD" w:rsidRDefault="00C124FD" w:rsidP="001D5AC2">
      <w:pPr>
        <w:spacing w:line="540" w:lineRule="exact"/>
        <w:ind w:right="640"/>
        <w:rPr>
          <w:rFonts w:ascii="宋体" w:eastAsia="宋体" w:hAnsi="宋体"/>
          <w:sz w:val="24"/>
          <w:szCs w:val="24"/>
        </w:rPr>
      </w:pPr>
      <w:r>
        <w:rPr>
          <w:rFonts w:ascii="宋体" w:eastAsia="宋体" w:hAnsi="宋体" w:hint="eastAsia"/>
          <w:sz w:val="24"/>
          <w:szCs w:val="24"/>
        </w:rPr>
        <w:t>日期：</w:t>
      </w:r>
    </w:p>
    <w:p w14:paraId="496FEC91" w14:textId="77777777" w:rsidR="0083338F" w:rsidRDefault="0083338F">
      <w:pPr>
        <w:widowControl/>
        <w:jc w:val="left"/>
        <w:rPr>
          <w:rFonts w:ascii="宋体" w:eastAsia="宋体" w:hAnsi="宋体"/>
          <w:sz w:val="24"/>
          <w:szCs w:val="24"/>
        </w:rPr>
      </w:pPr>
      <w:r>
        <w:rPr>
          <w:rFonts w:ascii="宋体" w:eastAsia="宋体" w:hAnsi="宋体"/>
          <w:sz w:val="24"/>
          <w:szCs w:val="24"/>
        </w:rPr>
        <w:br w:type="page"/>
      </w:r>
    </w:p>
    <w:p w14:paraId="65D3609F" w14:textId="77777777" w:rsidR="0083338F" w:rsidRPr="001D5AC2" w:rsidRDefault="0083338F" w:rsidP="0083338F">
      <w:pPr>
        <w:spacing w:line="540" w:lineRule="exact"/>
        <w:ind w:right="640"/>
        <w:jc w:val="center"/>
        <w:rPr>
          <w:rFonts w:ascii="宋体" w:eastAsia="宋体" w:hAnsi="宋体"/>
          <w:b/>
          <w:sz w:val="30"/>
          <w:szCs w:val="30"/>
        </w:rPr>
      </w:pPr>
      <w:r w:rsidRPr="001D5AC2">
        <w:rPr>
          <w:rFonts w:ascii="宋体" w:eastAsia="宋体" w:hAnsi="宋体" w:hint="eastAsia"/>
          <w:b/>
          <w:sz w:val="30"/>
          <w:szCs w:val="30"/>
        </w:rPr>
        <w:lastRenderedPageBreak/>
        <w:t>基金回访确认书</w:t>
      </w:r>
    </w:p>
    <w:p w14:paraId="792EADD1" w14:textId="42E009C8" w:rsidR="0083338F" w:rsidRPr="001D5AC2" w:rsidRDefault="0083338F" w:rsidP="0083338F">
      <w:pPr>
        <w:spacing w:line="540" w:lineRule="exact"/>
        <w:ind w:right="640"/>
        <w:jc w:val="center"/>
        <w:rPr>
          <w:rFonts w:ascii="宋体" w:eastAsia="宋体" w:hAnsi="宋体"/>
          <w:sz w:val="18"/>
          <w:szCs w:val="18"/>
        </w:rPr>
      </w:pPr>
      <w:r w:rsidRPr="001D5AC2">
        <w:rPr>
          <w:rFonts w:ascii="宋体" w:eastAsia="宋体" w:hAnsi="宋体" w:hint="eastAsia"/>
          <w:sz w:val="18"/>
          <w:szCs w:val="18"/>
        </w:rPr>
        <w:t>（</w:t>
      </w:r>
      <w:r w:rsidR="0070346A">
        <w:rPr>
          <w:rFonts w:ascii="宋体" w:eastAsia="宋体" w:hAnsi="宋体"/>
          <w:sz w:val="18"/>
          <w:szCs w:val="18"/>
        </w:rPr>
        <w:t>XX</w:t>
      </w:r>
      <w:r w:rsidRPr="001D5AC2">
        <w:rPr>
          <w:rFonts w:ascii="宋体" w:eastAsia="宋体" w:hAnsi="宋体" w:hint="eastAsia"/>
          <w:sz w:val="18"/>
          <w:szCs w:val="18"/>
        </w:rPr>
        <w:t>壹号私募股权投资基金）</w:t>
      </w:r>
    </w:p>
    <w:p w14:paraId="0ECF2703" w14:textId="77777777" w:rsidR="0083338F" w:rsidRDefault="0083338F" w:rsidP="0083338F">
      <w:pPr>
        <w:spacing w:line="540" w:lineRule="exact"/>
        <w:ind w:right="640"/>
        <w:rPr>
          <w:rFonts w:ascii="宋体" w:eastAsia="宋体" w:hAnsi="宋体"/>
          <w:sz w:val="24"/>
          <w:szCs w:val="24"/>
        </w:rPr>
      </w:pPr>
    </w:p>
    <w:p w14:paraId="3C1849C6" w14:textId="1684D2BC" w:rsidR="0083338F"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投资者：</w:t>
      </w:r>
      <w:r w:rsidR="0070346A">
        <w:rPr>
          <w:rFonts w:ascii="宋体" w:eastAsia="宋体" w:hAnsi="宋体" w:hint="eastAsia"/>
          <w:sz w:val="24"/>
          <w:szCs w:val="24"/>
        </w:rPr>
        <w:t>XX</w:t>
      </w:r>
      <w:r w:rsidR="00F60E99">
        <w:rPr>
          <w:rFonts w:ascii="宋体" w:eastAsia="宋体" w:hAnsi="宋体" w:hint="eastAsia"/>
          <w:sz w:val="24"/>
          <w:szCs w:val="24"/>
        </w:rPr>
        <w:t>有限公司</w:t>
      </w:r>
    </w:p>
    <w:p w14:paraId="0AD306CD" w14:textId="00952A27" w:rsidR="0083338F"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统一社会信用代码：</w:t>
      </w:r>
      <w:bookmarkStart w:id="0" w:name="_GoBack"/>
      <w:bookmarkEnd w:id="0"/>
    </w:p>
    <w:p w14:paraId="5CB8A017" w14:textId="77777777" w:rsidR="0083338F" w:rsidRDefault="0083338F" w:rsidP="0083338F">
      <w:pPr>
        <w:spacing w:line="540" w:lineRule="exact"/>
        <w:ind w:right="640"/>
        <w:rPr>
          <w:rFonts w:ascii="宋体" w:eastAsia="宋体" w:hAnsi="宋体"/>
          <w:sz w:val="24"/>
          <w:szCs w:val="24"/>
        </w:rPr>
      </w:pPr>
    </w:p>
    <w:p w14:paraId="31E28658" w14:textId="77777777" w:rsidR="0083338F"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经过二十四小时的投资冷静期后，投资者对投资行为进行再次确认如下：</w:t>
      </w:r>
    </w:p>
    <w:p w14:paraId="5A48BEB3" w14:textId="715E17B9"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1、</w:t>
      </w:r>
      <w:r w:rsidR="00F83660">
        <w:rPr>
          <w:rFonts w:ascii="宋体" w:eastAsia="宋体" w:hAnsi="宋体" w:hint="eastAsia"/>
          <w:sz w:val="24"/>
          <w:szCs w:val="24"/>
        </w:rPr>
        <w:t>本机构</w:t>
      </w:r>
      <w:r>
        <w:rPr>
          <w:rFonts w:ascii="宋体" w:eastAsia="宋体" w:hAnsi="宋体" w:hint="eastAsia"/>
          <w:sz w:val="24"/>
          <w:szCs w:val="24"/>
        </w:rPr>
        <w:t>为</w:t>
      </w:r>
      <w:r w:rsidR="0070346A">
        <w:rPr>
          <w:rFonts w:ascii="宋体" w:eastAsia="宋体" w:hAnsi="宋体"/>
          <w:sz w:val="24"/>
          <w:szCs w:val="24"/>
        </w:rPr>
        <w:t>XX</w:t>
      </w:r>
      <w:r>
        <w:rPr>
          <w:rFonts w:ascii="宋体" w:eastAsia="宋体" w:hAnsi="宋体" w:hint="eastAsia"/>
          <w:sz w:val="24"/>
          <w:szCs w:val="24"/>
        </w:rPr>
        <w:t>壹号私募股权基金</w:t>
      </w:r>
      <w:r w:rsidR="00F83660">
        <w:rPr>
          <w:rFonts w:ascii="宋体" w:eastAsia="宋体" w:hAnsi="宋体" w:hint="eastAsia"/>
          <w:sz w:val="24"/>
          <w:szCs w:val="24"/>
        </w:rPr>
        <w:t>投资者</w:t>
      </w:r>
      <w:r w:rsidRPr="001D5AC2">
        <w:rPr>
          <w:rFonts w:ascii="宋体" w:eastAsia="宋体" w:hAnsi="宋体" w:hint="eastAsia"/>
          <w:sz w:val="24"/>
          <w:szCs w:val="24"/>
        </w:rPr>
        <w:t>；</w:t>
      </w:r>
    </w:p>
    <w:p w14:paraId="33C8C5F9" w14:textId="77777777"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2、</w:t>
      </w:r>
      <w:r w:rsidR="00F83660">
        <w:rPr>
          <w:rFonts w:ascii="宋体" w:eastAsia="宋体" w:hAnsi="宋体" w:hint="eastAsia"/>
          <w:sz w:val="24"/>
          <w:szCs w:val="24"/>
        </w:rPr>
        <w:t>本机构</w:t>
      </w:r>
      <w:r>
        <w:rPr>
          <w:rFonts w:ascii="宋体" w:eastAsia="宋体" w:hAnsi="宋体" w:hint="eastAsia"/>
          <w:sz w:val="24"/>
          <w:szCs w:val="24"/>
        </w:rPr>
        <w:t>已在购买的基金产品上亲笔签名或盖章，且是</w:t>
      </w:r>
      <w:r w:rsidR="00F83660">
        <w:rPr>
          <w:rFonts w:ascii="宋体" w:eastAsia="宋体" w:hAnsi="宋体" w:hint="eastAsia"/>
          <w:sz w:val="24"/>
          <w:szCs w:val="24"/>
        </w:rPr>
        <w:t>为自身</w:t>
      </w:r>
      <w:r w:rsidRPr="001D5AC2">
        <w:rPr>
          <w:rFonts w:ascii="宋体" w:eastAsia="宋体" w:hAnsi="宋体" w:hint="eastAsia"/>
          <w:sz w:val="24"/>
          <w:szCs w:val="24"/>
        </w:rPr>
        <w:t>购买了该基金产品；</w:t>
      </w:r>
    </w:p>
    <w:p w14:paraId="385FBF58" w14:textId="77777777"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3、</w:t>
      </w:r>
      <w:r w:rsidR="004C4DF3">
        <w:rPr>
          <w:rFonts w:ascii="宋体" w:eastAsia="宋体" w:hAnsi="宋体" w:hint="eastAsia"/>
          <w:sz w:val="24"/>
          <w:szCs w:val="24"/>
        </w:rPr>
        <w:t>本机构</w:t>
      </w:r>
      <w:r w:rsidRPr="001D5AC2">
        <w:rPr>
          <w:rFonts w:ascii="宋体" w:eastAsia="宋体" w:hAnsi="宋体" w:hint="eastAsia"/>
          <w:sz w:val="24"/>
          <w:szCs w:val="24"/>
        </w:rPr>
        <w:t>已经阅读并理解基金合同和风险揭示的内容；</w:t>
      </w:r>
    </w:p>
    <w:p w14:paraId="4C3C5D4C" w14:textId="77777777"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4、</w:t>
      </w:r>
      <w:r w:rsidR="004C4DF3">
        <w:rPr>
          <w:rFonts w:ascii="宋体" w:eastAsia="宋体" w:hAnsi="宋体" w:hint="eastAsia"/>
          <w:sz w:val="24"/>
          <w:szCs w:val="24"/>
        </w:rPr>
        <w:t>本机构</w:t>
      </w:r>
      <w:r>
        <w:rPr>
          <w:rFonts w:ascii="宋体" w:eastAsia="宋体" w:hAnsi="宋体" w:hint="eastAsia"/>
          <w:sz w:val="24"/>
          <w:szCs w:val="24"/>
        </w:rPr>
        <w:t>与本基金产品所要求的</w:t>
      </w:r>
      <w:r w:rsidRPr="001D5AC2">
        <w:rPr>
          <w:rFonts w:ascii="宋体" w:eastAsia="宋体" w:hAnsi="宋体" w:hint="eastAsia"/>
          <w:sz w:val="24"/>
          <w:szCs w:val="24"/>
        </w:rPr>
        <w:t>风险识别能力及风险承担能力相匹配</w:t>
      </w:r>
      <w:r>
        <w:rPr>
          <w:rFonts w:ascii="宋体" w:eastAsia="宋体" w:hAnsi="宋体" w:hint="eastAsia"/>
          <w:sz w:val="24"/>
          <w:szCs w:val="24"/>
        </w:rPr>
        <w:t>，对本基金的各类风险有明确的认识并愿意为可能的风险承担责任</w:t>
      </w:r>
      <w:r w:rsidRPr="001D5AC2">
        <w:rPr>
          <w:rFonts w:ascii="宋体" w:eastAsia="宋体" w:hAnsi="宋体" w:hint="eastAsia"/>
          <w:sz w:val="24"/>
          <w:szCs w:val="24"/>
        </w:rPr>
        <w:t>；</w:t>
      </w:r>
    </w:p>
    <w:p w14:paraId="42D40DA4" w14:textId="77777777"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5、</w:t>
      </w:r>
      <w:r w:rsidR="004C4DF3">
        <w:rPr>
          <w:rFonts w:ascii="宋体" w:eastAsia="宋体" w:hAnsi="宋体" w:hint="eastAsia"/>
          <w:sz w:val="24"/>
          <w:szCs w:val="24"/>
        </w:rPr>
        <w:t>本机构</w:t>
      </w:r>
      <w:r>
        <w:rPr>
          <w:rFonts w:ascii="宋体" w:eastAsia="宋体" w:hAnsi="宋体" w:hint="eastAsia"/>
          <w:sz w:val="24"/>
          <w:szCs w:val="24"/>
        </w:rPr>
        <w:t>对</w:t>
      </w:r>
      <w:r w:rsidRPr="001D5AC2">
        <w:rPr>
          <w:rFonts w:ascii="宋体" w:eastAsia="宋体" w:hAnsi="宋体" w:hint="eastAsia"/>
          <w:sz w:val="24"/>
          <w:szCs w:val="24"/>
        </w:rPr>
        <w:t>投资者承担的主要费用及费率，投资者的重要权利、私募基金信息披露的内容、方式及频率</w:t>
      </w:r>
      <w:r>
        <w:rPr>
          <w:rFonts w:ascii="宋体" w:eastAsia="宋体" w:hAnsi="宋体" w:hint="eastAsia"/>
          <w:sz w:val="24"/>
          <w:szCs w:val="24"/>
        </w:rPr>
        <w:t>等已经进行了详细了解</w:t>
      </w:r>
      <w:r w:rsidRPr="001D5AC2">
        <w:rPr>
          <w:rFonts w:ascii="宋体" w:eastAsia="宋体" w:hAnsi="宋体" w:hint="eastAsia"/>
          <w:sz w:val="24"/>
          <w:szCs w:val="24"/>
        </w:rPr>
        <w:t>；</w:t>
      </w:r>
    </w:p>
    <w:p w14:paraId="5C1C2F08" w14:textId="77777777"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6、投资有风险，</w:t>
      </w:r>
      <w:r w:rsidR="004C4DF3">
        <w:rPr>
          <w:rFonts w:ascii="宋体" w:eastAsia="宋体" w:hAnsi="宋体" w:hint="eastAsia"/>
          <w:sz w:val="24"/>
          <w:szCs w:val="24"/>
        </w:rPr>
        <w:t>本机构</w:t>
      </w:r>
      <w:r>
        <w:rPr>
          <w:rFonts w:ascii="宋体" w:eastAsia="宋体" w:hAnsi="宋体" w:hint="eastAsia"/>
          <w:sz w:val="24"/>
          <w:szCs w:val="24"/>
        </w:rPr>
        <w:t>愿意承担未来可能出现的全部</w:t>
      </w:r>
      <w:r w:rsidRPr="001D5AC2">
        <w:rPr>
          <w:rFonts w:ascii="宋体" w:eastAsia="宋体" w:hAnsi="宋体" w:hint="eastAsia"/>
          <w:sz w:val="24"/>
          <w:szCs w:val="24"/>
        </w:rPr>
        <w:t>投资损失；</w:t>
      </w:r>
    </w:p>
    <w:p w14:paraId="404539AC" w14:textId="77777777" w:rsidR="0083338F" w:rsidRPr="001D5AC2"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7、完成合规投资者确认后24小时内为投资冷静期，投资者有权在此期间要求全部返还投资款。</w:t>
      </w:r>
      <w:r w:rsidR="004C4DF3">
        <w:rPr>
          <w:rFonts w:ascii="宋体" w:eastAsia="宋体" w:hAnsi="宋体" w:hint="eastAsia"/>
          <w:sz w:val="24"/>
          <w:szCs w:val="24"/>
        </w:rPr>
        <w:t>本机构</w:t>
      </w:r>
      <w:r>
        <w:rPr>
          <w:rFonts w:ascii="宋体" w:eastAsia="宋体" w:hAnsi="宋体" w:hint="eastAsia"/>
          <w:sz w:val="24"/>
          <w:szCs w:val="24"/>
        </w:rPr>
        <w:t>已</w:t>
      </w:r>
      <w:r w:rsidRPr="001D5AC2">
        <w:rPr>
          <w:rFonts w:ascii="宋体" w:eastAsia="宋体" w:hAnsi="宋体" w:hint="eastAsia"/>
          <w:sz w:val="24"/>
          <w:szCs w:val="24"/>
        </w:rPr>
        <w:t>知悉</w:t>
      </w:r>
      <w:r>
        <w:rPr>
          <w:rFonts w:ascii="宋体" w:eastAsia="宋体" w:hAnsi="宋体" w:hint="eastAsia"/>
          <w:sz w:val="24"/>
          <w:szCs w:val="24"/>
        </w:rPr>
        <w:t>前述</w:t>
      </w:r>
      <w:r w:rsidRPr="001D5AC2">
        <w:rPr>
          <w:rFonts w:ascii="宋体" w:eastAsia="宋体" w:hAnsi="宋体" w:hint="eastAsia"/>
          <w:sz w:val="24"/>
          <w:szCs w:val="24"/>
        </w:rPr>
        <w:t>投资冷静期的起算时间、期间以及享有的权利；</w:t>
      </w:r>
    </w:p>
    <w:p w14:paraId="3AC24750" w14:textId="77777777" w:rsidR="0083338F"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8、</w:t>
      </w:r>
      <w:r w:rsidR="00F83660">
        <w:rPr>
          <w:rFonts w:ascii="宋体" w:eastAsia="宋体" w:hAnsi="宋体" w:hint="eastAsia"/>
          <w:sz w:val="24"/>
          <w:szCs w:val="24"/>
        </w:rPr>
        <w:t>本机构</w:t>
      </w:r>
      <w:r>
        <w:rPr>
          <w:rFonts w:ascii="宋体" w:eastAsia="宋体" w:hAnsi="宋体" w:hint="eastAsia"/>
          <w:sz w:val="24"/>
          <w:szCs w:val="24"/>
        </w:rPr>
        <w:t>知悉对于纠纷可通过协商调解、仲裁、诉讼等方式进行解决。</w:t>
      </w:r>
    </w:p>
    <w:p w14:paraId="4A369B02" w14:textId="77777777" w:rsidR="00546BB8" w:rsidRPr="00190554" w:rsidRDefault="00190554" w:rsidP="00546BB8">
      <w:pPr>
        <w:spacing w:line="540" w:lineRule="exact"/>
        <w:ind w:right="640"/>
        <w:rPr>
          <w:rFonts w:ascii="宋体" w:eastAsia="宋体" w:hAnsi="宋体"/>
          <w:sz w:val="24"/>
          <w:szCs w:val="24"/>
        </w:rPr>
      </w:pPr>
      <w:r>
        <w:rPr>
          <w:rFonts w:ascii="宋体" w:eastAsia="宋体" w:hAnsi="宋体" w:hint="eastAsia"/>
          <w:sz w:val="24"/>
          <w:szCs w:val="24"/>
        </w:rPr>
        <w:t>9、</w:t>
      </w:r>
      <w:r w:rsidR="00546BB8">
        <w:rPr>
          <w:rFonts w:ascii="宋体" w:eastAsia="宋体" w:hAnsi="宋体" w:hint="eastAsia"/>
          <w:sz w:val="24"/>
          <w:szCs w:val="24"/>
        </w:rPr>
        <w:t>本机构确认</w:t>
      </w:r>
      <w:r w:rsidR="00546BB8" w:rsidRPr="00190554">
        <w:rPr>
          <w:rFonts w:ascii="宋体" w:eastAsia="宋体" w:hAnsi="宋体" w:hint="eastAsia"/>
          <w:sz w:val="24"/>
          <w:szCs w:val="24"/>
        </w:rPr>
        <w:t>募集机构</w:t>
      </w:r>
      <w:r w:rsidR="00546BB8">
        <w:rPr>
          <w:rFonts w:ascii="宋体" w:eastAsia="宋体" w:hAnsi="宋体" w:hint="eastAsia"/>
          <w:sz w:val="24"/>
          <w:szCs w:val="24"/>
        </w:rPr>
        <w:t>在本次募集过程中不存在</w:t>
      </w:r>
      <w:r w:rsidR="00546BB8" w:rsidRPr="00190554">
        <w:rPr>
          <w:rFonts w:ascii="宋体" w:eastAsia="宋体" w:hAnsi="宋体" w:hint="eastAsia"/>
          <w:sz w:val="24"/>
          <w:szCs w:val="24"/>
        </w:rPr>
        <w:t>下列</w:t>
      </w:r>
      <w:r w:rsidR="00546BB8">
        <w:rPr>
          <w:rFonts w:ascii="宋体" w:eastAsia="宋体" w:hAnsi="宋体" w:hint="eastAsia"/>
          <w:sz w:val="24"/>
          <w:szCs w:val="24"/>
        </w:rPr>
        <w:t>行为</w:t>
      </w:r>
      <w:r w:rsidR="00546BB8" w:rsidRPr="00190554">
        <w:rPr>
          <w:rFonts w:ascii="宋体" w:eastAsia="宋体" w:hAnsi="宋体" w:hint="eastAsia"/>
          <w:sz w:val="24"/>
          <w:szCs w:val="24"/>
        </w:rPr>
        <w:t>：</w:t>
      </w:r>
    </w:p>
    <w:p w14:paraId="2BE5787D" w14:textId="77777777" w:rsidR="00546BB8" w:rsidRPr="00190554" w:rsidRDefault="00546BB8" w:rsidP="00546BB8">
      <w:pPr>
        <w:spacing w:line="540" w:lineRule="exact"/>
        <w:ind w:right="640"/>
        <w:rPr>
          <w:rFonts w:ascii="宋体" w:eastAsia="宋体" w:hAnsi="宋体"/>
          <w:sz w:val="24"/>
          <w:szCs w:val="24"/>
        </w:rPr>
      </w:pPr>
      <w:r w:rsidRPr="00190554">
        <w:rPr>
          <w:rFonts w:ascii="宋体" w:eastAsia="宋体" w:hAnsi="宋体" w:hint="eastAsia"/>
          <w:sz w:val="24"/>
          <w:szCs w:val="24"/>
        </w:rPr>
        <w:t>（一）</w:t>
      </w:r>
      <w:r w:rsidRPr="00546BB8">
        <w:rPr>
          <w:rFonts w:ascii="宋体" w:eastAsia="宋体" w:hAnsi="宋体" w:hint="eastAsia"/>
          <w:sz w:val="24"/>
          <w:szCs w:val="24"/>
        </w:rPr>
        <w:t>向不符合准入要求的投资者销售产品或者提供服务</w:t>
      </w:r>
      <w:r w:rsidRPr="00190554">
        <w:rPr>
          <w:rFonts w:ascii="宋体" w:eastAsia="宋体" w:hAnsi="宋体" w:hint="eastAsia"/>
          <w:sz w:val="24"/>
          <w:szCs w:val="24"/>
        </w:rPr>
        <w:t>；</w:t>
      </w:r>
    </w:p>
    <w:p w14:paraId="1D4C284E" w14:textId="77777777" w:rsidR="00546BB8" w:rsidRPr="00190554" w:rsidRDefault="00546BB8" w:rsidP="00546BB8">
      <w:pPr>
        <w:spacing w:line="540" w:lineRule="exact"/>
        <w:ind w:right="640"/>
        <w:rPr>
          <w:rFonts w:ascii="宋体" w:eastAsia="宋体" w:hAnsi="宋体"/>
          <w:sz w:val="24"/>
          <w:szCs w:val="24"/>
        </w:rPr>
      </w:pPr>
      <w:r w:rsidRPr="00190554">
        <w:rPr>
          <w:rFonts w:ascii="宋体" w:eastAsia="宋体" w:hAnsi="宋体" w:hint="eastAsia"/>
          <w:sz w:val="24"/>
          <w:szCs w:val="24"/>
        </w:rPr>
        <w:t>（二）</w:t>
      </w:r>
      <w:r w:rsidRPr="00546BB8">
        <w:rPr>
          <w:rFonts w:ascii="宋体" w:eastAsia="宋体" w:hAnsi="宋体" w:hint="eastAsia"/>
          <w:sz w:val="24"/>
          <w:szCs w:val="24"/>
        </w:rPr>
        <w:t>向投资者就不确定事项提供确定性的判断，或者告知投资者有可能使其误认为具有确定性的意见</w:t>
      </w:r>
      <w:r w:rsidRPr="00190554">
        <w:rPr>
          <w:rFonts w:ascii="宋体" w:eastAsia="宋体" w:hAnsi="宋体" w:hint="eastAsia"/>
          <w:sz w:val="24"/>
          <w:szCs w:val="24"/>
        </w:rPr>
        <w:t>；</w:t>
      </w:r>
    </w:p>
    <w:p w14:paraId="0DB30A76" w14:textId="77777777" w:rsidR="00546BB8" w:rsidRP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（三）向普通投资者主动推介风险等级高于其风险承受能力的产品或者服</w:t>
      </w:r>
      <w:r w:rsidRPr="00546BB8">
        <w:rPr>
          <w:rFonts w:ascii="宋体" w:eastAsia="宋体" w:hAnsi="宋体" w:hint="eastAsia"/>
          <w:sz w:val="24"/>
          <w:szCs w:val="24"/>
        </w:rPr>
        <w:lastRenderedPageBreak/>
        <w:t>务；</w:t>
      </w:r>
    </w:p>
    <w:p w14:paraId="28A50758" w14:textId="77777777" w:rsidR="00546BB8" w:rsidRP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（四）向普通投资者主动推介不符合其投资目标的产品或者服务；</w:t>
      </w:r>
    </w:p>
    <w:p w14:paraId="5E177077" w14:textId="77777777" w:rsidR="00546BB8" w:rsidRP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（五）向风险承受能力最低类别的投资者销售或者提供风险等级高于其风险承受能力的产品或者服务；</w:t>
      </w:r>
    </w:p>
    <w:p w14:paraId="44427998" w14:textId="77777777" w:rsidR="00546BB8" w:rsidRDefault="00546BB8" w:rsidP="00546BB8">
      <w:pPr>
        <w:spacing w:line="540" w:lineRule="exact"/>
        <w:ind w:right="640"/>
        <w:rPr>
          <w:rFonts w:ascii="宋体" w:eastAsia="宋体" w:hAnsi="宋体"/>
          <w:sz w:val="24"/>
          <w:szCs w:val="24"/>
        </w:rPr>
      </w:pPr>
      <w:r w:rsidRPr="00546BB8">
        <w:rPr>
          <w:rFonts w:ascii="宋体" w:eastAsia="宋体" w:hAnsi="宋体" w:hint="eastAsia"/>
          <w:sz w:val="24"/>
          <w:szCs w:val="24"/>
        </w:rPr>
        <w:t>（六）其他违背适当性要求，损害投资者合法权益的行为。</w:t>
      </w:r>
    </w:p>
    <w:p w14:paraId="453F996E" w14:textId="77777777" w:rsidR="0083338F" w:rsidRPr="00546BB8" w:rsidRDefault="0083338F" w:rsidP="00546BB8">
      <w:pPr>
        <w:spacing w:line="540" w:lineRule="exact"/>
        <w:ind w:right="640"/>
        <w:rPr>
          <w:rFonts w:ascii="宋体" w:eastAsia="宋体" w:hAnsi="宋体"/>
          <w:sz w:val="24"/>
          <w:szCs w:val="24"/>
        </w:rPr>
      </w:pPr>
    </w:p>
    <w:p w14:paraId="33EDE94D" w14:textId="77777777" w:rsidR="00190554" w:rsidRDefault="00190554" w:rsidP="0083338F">
      <w:pPr>
        <w:spacing w:line="540" w:lineRule="exact"/>
        <w:ind w:right="640"/>
        <w:rPr>
          <w:rFonts w:ascii="宋体" w:eastAsia="宋体" w:hAnsi="宋体"/>
          <w:sz w:val="24"/>
          <w:szCs w:val="24"/>
        </w:rPr>
      </w:pPr>
    </w:p>
    <w:p w14:paraId="491C0EBB" w14:textId="77777777" w:rsidR="00190554" w:rsidRDefault="00190554" w:rsidP="0083338F">
      <w:pPr>
        <w:spacing w:line="540" w:lineRule="exact"/>
        <w:ind w:right="640"/>
        <w:rPr>
          <w:rFonts w:ascii="宋体" w:eastAsia="宋体" w:hAnsi="宋体"/>
          <w:sz w:val="24"/>
          <w:szCs w:val="24"/>
        </w:rPr>
      </w:pPr>
    </w:p>
    <w:p w14:paraId="546DFB04" w14:textId="77777777" w:rsidR="00190554" w:rsidRDefault="00190554" w:rsidP="0083338F">
      <w:pPr>
        <w:spacing w:line="540" w:lineRule="exact"/>
        <w:ind w:right="640"/>
        <w:rPr>
          <w:rFonts w:ascii="宋体" w:eastAsia="宋体" w:hAnsi="宋体"/>
          <w:sz w:val="24"/>
          <w:szCs w:val="24"/>
        </w:rPr>
      </w:pPr>
    </w:p>
    <w:p w14:paraId="1A43B58D" w14:textId="77777777" w:rsidR="0083338F"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投资者</w:t>
      </w:r>
      <w:r w:rsidR="00593DD4">
        <w:rPr>
          <w:rFonts w:ascii="宋体" w:eastAsia="宋体" w:hAnsi="宋体" w:hint="eastAsia"/>
          <w:sz w:val="24"/>
          <w:szCs w:val="24"/>
        </w:rPr>
        <w:t>盖章</w:t>
      </w:r>
      <w:r>
        <w:rPr>
          <w:rFonts w:ascii="宋体" w:eastAsia="宋体" w:hAnsi="宋体" w:hint="eastAsia"/>
          <w:sz w:val="24"/>
          <w:szCs w:val="24"/>
        </w:rPr>
        <w:t>确认：</w:t>
      </w:r>
    </w:p>
    <w:p w14:paraId="3298A7AF" w14:textId="77777777" w:rsidR="00593DD4" w:rsidRDefault="00593DD4" w:rsidP="0083338F">
      <w:pPr>
        <w:spacing w:line="540" w:lineRule="exact"/>
        <w:ind w:right="640"/>
        <w:rPr>
          <w:rFonts w:ascii="宋体" w:eastAsia="宋体" w:hAnsi="宋体"/>
          <w:sz w:val="24"/>
          <w:szCs w:val="24"/>
        </w:rPr>
      </w:pPr>
      <w:r>
        <w:rPr>
          <w:rFonts w:ascii="宋体" w:eastAsia="宋体" w:hAnsi="宋体" w:hint="eastAsia"/>
          <w:sz w:val="24"/>
          <w:szCs w:val="24"/>
        </w:rPr>
        <w:t>法定代表人签字：</w:t>
      </w:r>
    </w:p>
    <w:p w14:paraId="2565A6AA" w14:textId="77777777" w:rsidR="0083338F" w:rsidRPr="00C124FD" w:rsidRDefault="0083338F" w:rsidP="0083338F">
      <w:pPr>
        <w:spacing w:line="540" w:lineRule="exact"/>
        <w:ind w:right="640"/>
        <w:rPr>
          <w:rFonts w:ascii="宋体" w:eastAsia="宋体" w:hAnsi="宋体"/>
          <w:sz w:val="24"/>
          <w:szCs w:val="24"/>
        </w:rPr>
      </w:pPr>
      <w:r>
        <w:rPr>
          <w:rFonts w:ascii="宋体" w:eastAsia="宋体" w:hAnsi="宋体" w:hint="eastAsia"/>
          <w:sz w:val="24"/>
          <w:szCs w:val="24"/>
        </w:rPr>
        <w:t>日期：</w:t>
      </w:r>
    </w:p>
    <w:p w14:paraId="47B7832D" w14:textId="77777777" w:rsidR="0083338F" w:rsidRPr="0083338F" w:rsidRDefault="0083338F" w:rsidP="001D5AC2">
      <w:pPr>
        <w:spacing w:line="540" w:lineRule="exact"/>
        <w:ind w:right="640"/>
        <w:rPr>
          <w:rFonts w:ascii="宋体" w:eastAsia="宋体" w:hAnsi="宋体"/>
          <w:sz w:val="24"/>
          <w:szCs w:val="24"/>
        </w:rPr>
      </w:pPr>
    </w:p>
    <w:sectPr w:rsidR="0083338F" w:rsidRPr="0083338F" w:rsidSect="002B6C4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8CFA2" w14:textId="77777777" w:rsidR="00FA0D80" w:rsidRDefault="00FA0D80">
      <w:r>
        <w:separator/>
      </w:r>
    </w:p>
  </w:endnote>
  <w:endnote w:type="continuationSeparator" w:id="0">
    <w:p w14:paraId="29826741" w14:textId="77777777" w:rsidR="00FA0D80" w:rsidRDefault="00FA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59792"/>
      <w:showingPlcHdr/>
    </w:sdtPr>
    <w:sdtEndPr>
      <w:rPr>
        <w:rFonts w:ascii="Times New Roman" w:hAnsi="Times New Roman" w:cs="Times New Roman"/>
      </w:rPr>
    </w:sdtEndPr>
    <w:sdtContent>
      <w:p w14:paraId="7FBE3541" w14:textId="77777777" w:rsidR="008C0281" w:rsidRDefault="00190554">
        <w:pPr>
          <w:pStyle w:val="a5"/>
          <w:jc w:val="center"/>
          <w:rPr>
            <w:rFonts w:ascii="Times New Roman" w:hAnsi="Times New Roman" w:cs="Times New Roman"/>
          </w:rPr>
        </w:pPr>
        <w:r>
          <w:t xml:space="preserve">     </w:t>
        </w:r>
      </w:p>
    </w:sdtContent>
  </w:sdt>
  <w:p w14:paraId="3F0DF54D" w14:textId="77777777" w:rsidR="008C0281" w:rsidRDefault="008C0281">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30C2" w14:textId="77777777" w:rsidR="00FA0D80" w:rsidRDefault="00FA0D80">
      <w:r>
        <w:separator/>
      </w:r>
    </w:p>
  </w:footnote>
  <w:footnote w:type="continuationSeparator" w:id="0">
    <w:p w14:paraId="5516B944" w14:textId="77777777" w:rsidR="00FA0D80" w:rsidRDefault="00FA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6A19"/>
    <w:rsid w:val="0002014A"/>
    <w:rsid w:val="0002304E"/>
    <w:rsid w:val="000245D0"/>
    <w:rsid w:val="000348F8"/>
    <w:rsid w:val="000465F3"/>
    <w:rsid w:val="00067369"/>
    <w:rsid w:val="00080DEF"/>
    <w:rsid w:val="0008228E"/>
    <w:rsid w:val="00087FC9"/>
    <w:rsid w:val="00092F20"/>
    <w:rsid w:val="00093AE0"/>
    <w:rsid w:val="00095423"/>
    <w:rsid w:val="000A0CB4"/>
    <w:rsid w:val="000A23FA"/>
    <w:rsid w:val="000A4A08"/>
    <w:rsid w:val="000B1CE0"/>
    <w:rsid w:val="000B34D7"/>
    <w:rsid w:val="000C4380"/>
    <w:rsid w:val="000C701C"/>
    <w:rsid w:val="000D34A6"/>
    <w:rsid w:val="000E1FAB"/>
    <w:rsid w:val="000F1C19"/>
    <w:rsid w:val="000F71EE"/>
    <w:rsid w:val="000F7A91"/>
    <w:rsid w:val="001032A3"/>
    <w:rsid w:val="0012693A"/>
    <w:rsid w:val="00130DA8"/>
    <w:rsid w:val="0013302B"/>
    <w:rsid w:val="001410D6"/>
    <w:rsid w:val="001426FD"/>
    <w:rsid w:val="00146139"/>
    <w:rsid w:val="001533D5"/>
    <w:rsid w:val="0016019C"/>
    <w:rsid w:val="001620A8"/>
    <w:rsid w:val="00163BE0"/>
    <w:rsid w:val="00165F47"/>
    <w:rsid w:val="00176FB5"/>
    <w:rsid w:val="00185DC3"/>
    <w:rsid w:val="00186EDC"/>
    <w:rsid w:val="001902C2"/>
    <w:rsid w:val="00190554"/>
    <w:rsid w:val="00190721"/>
    <w:rsid w:val="00195307"/>
    <w:rsid w:val="0019695A"/>
    <w:rsid w:val="001A2093"/>
    <w:rsid w:val="001A22A8"/>
    <w:rsid w:val="001A3EF0"/>
    <w:rsid w:val="001A61BF"/>
    <w:rsid w:val="001A689F"/>
    <w:rsid w:val="001C3371"/>
    <w:rsid w:val="001D3FA7"/>
    <w:rsid w:val="001D5AC2"/>
    <w:rsid w:val="001E0153"/>
    <w:rsid w:val="0020617C"/>
    <w:rsid w:val="00236D34"/>
    <w:rsid w:val="00246283"/>
    <w:rsid w:val="0025395D"/>
    <w:rsid w:val="00257D8B"/>
    <w:rsid w:val="00267533"/>
    <w:rsid w:val="00282AE2"/>
    <w:rsid w:val="0028417C"/>
    <w:rsid w:val="0028428B"/>
    <w:rsid w:val="002871EB"/>
    <w:rsid w:val="00287989"/>
    <w:rsid w:val="00294151"/>
    <w:rsid w:val="00297D07"/>
    <w:rsid w:val="002B51D4"/>
    <w:rsid w:val="002B6C4E"/>
    <w:rsid w:val="002C07F5"/>
    <w:rsid w:val="002D442A"/>
    <w:rsid w:val="002E1F02"/>
    <w:rsid w:val="002E5021"/>
    <w:rsid w:val="002F3EC0"/>
    <w:rsid w:val="002F475C"/>
    <w:rsid w:val="00302559"/>
    <w:rsid w:val="00302C08"/>
    <w:rsid w:val="00310956"/>
    <w:rsid w:val="00325B14"/>
    <w:rsid w:val="0033321A"/>
    <w:rsid w:val="003356B3"/>
    <w:rsid w:val="00335B47"/>
    <w:rsid w:val="00355520"/>
    <w:rsid w:val="0036243B"/>
    <w:rsid w:val="00365F74"/>
    <w:rsid w:val="00366162"/>
    <w:rsid w:val="00367AA9"/>
    <w:rsid w:val="00375F3F"/>
    <w:rsid w:val="00386111"/>
    <w:rsid w:val="003873FF"/>
    <w:rsid w:val="003A1846"/>
    <w:rsid w:val="003A32D6"/>
    <w:rsid w:val="003B38E5"/>
    <w:rsid w:val="003B50F5"/>
    <w:rsid w:val="003D1940"/>
    <w:rsid w:val="003D7E6B"/>
    <w:rsid w:val="003E57D0"/>
    <w:rsid w:val="003F1EF3"/>
    <w:rsid w:val="003F49C2"/>
    <w:rsid w:val="003F53AC"/>
    <w:rsid w:val="00405B64"/>
    <w:rsid w:val="00407B5C"/>
    <w:rsid w:val="00407CB7"/>
    <w:rsid w:val="00410342"/>
    <w:rsid w:val="00412E26"/>
    <w:rsid w:val="00415F64"/>
    <w:rsid w:val="00427A20"/>
    <w:rsid w:val="00430814"/>
    <w:rsid w:val="00441648"/>
    <w:rsid w:val="00457159"/>
    <w:rsid w:val="00466E95"/>
    <w:rsid w:val="00471EC9"/>
    <w:rsid w:val="0047544A"/>
    <w:rsid w:val="00483D5E"/>
    <w:rsid w:val="00495D73"/>
    <w:rsid w:val="004A0F6D"/>
    <w:rsid w:val="004A378F"/>
    <w:rsid w:val="004A51A7"/>
    <w:rsid w:val="004C3F2B"/>
    <w:rsid w:val="004C4DF3"/>
    <w:rsid w:val="004C4E9A"/>
    <w:rsid w:val="004E3661"/>
    <w:rsid w:val="004F31FF"/>
    <w:rsid w:val="004F69CB"/>
    <w:rsid w:val="00503A60"/>
    <w:rsid w:val="00506F95"/>
    <w:rsid w:val="00510C6E"/>
    <w:rsid w:val="00522181"/>
    <w:rsid w:val="00537852"/>
    <w:rsid w:val="00542C59"/>
    <w:rsid w:val="00546BB8"/>
    <w:rsid w:val="00577D29"/>
    <w:rsid w:val="005832CC"/>
    <w:rsid w:val="00591494"/>
    <w:rsid w:val="00593DD4"/>
    <w:rsid w:val="005A35E0"/>
    <w:rsid w:val="005B7C4D"/>
    <w:rsid w:val="005D0A9C"/>
    <w:rsid w:val="005D1EB3"/>
    <w:rsid w:val="005D23A4"/>
    <w:rsid w:val="005E1D03"/>
    <w:rsid w:val="005F57B5"/>
    <w:rsid w:val="0060077C"/>
    <w:rsid w:val="00603AA2"/>
    <w:rsid w:val="00612CE6"/>
    <w:rsid w:val="006137F8"/>
    <w:rsid w:val="00614D75"/>
    <w:rsid w:val="00617D9B"/>
    <w:rsid w:val="0062321A"/>
    <w:rsid w:val="00641782"/>
    <w:rsid w:val="0064238C"/>
    <w:rsid w:val="00643959"/>
    <w:rsid w:val="0064444B"/>
    <w:rsid w:val="00646A19"/>
    <w:rsid w:val="00667A60"/>
    <w:rsid w:val="00676A15"/>
    <w:rsid w:val="00684A1C"/>
    <w:rsid w:val="00686963"/>
    <w:rsid w:val="00693D59"/>
    <w:rsid w:val="00694389"/>
    <w:rsid w:val="006A6F57"/>
    <w:rsid w:val="006B6AB8"/>
    <w:rsid w:val="006C0AEA"/>
    <w:rsid w:val="006C7B0D"/>
    <w:rsid w:val="006E0F3A"/>
    <w:rsid w:val="006E7DBE"/>
    <w:rsid w:val="006F2CC1"/>
    <w:rsid w:val="006F5363"/>
    <w:rsid w:val="00700F97"/>
    <w:rsid w:val="007014A0"/>
    <w:rsid w:val="0070219F"/>
    <w:rsid w:val="00702DE0"/>
    <w:rsid w:val="0070346A"/>
    <w:rsid w:val="00710D25"/>
    <w:rsid w:val="007148CD"/>
    <w:rsid w:val="007155A0"/>
    <w:rsid w:val="00725DB5"/>
    <w:rsid w:val="007366B1"/>
    <w:rsid w:val="0074655C"/>
    <w:rsid w:val="007530F6"/>
    <w:rsid w:val="00753B58"/>
    <w:rsid w:val="00763AAB"/>
    <w:rsid w:val="00775E3E"/>
    <w:rsid w:val="00777CC6"/>
    <w:rsid w:val="007854CE"/>
    <w:rsid w:val="007859A5"/>
    <w:rsid w:val="007A05A1"/>
    <w:rsid w:val="007A6F99"/>
    <w:rsid w:val="007B1C90"/>
    <w:rsid w:val="007B2011"/>
    <w:rsid w:val="007B3D1B"/>
    <w:rsid w:val="007C2151"/>
    <w:rsid w:val="007D5BF4"/>
    <w:rsid w:val="007D5C9B"/>
    <w:rsid w:val="007E0CF5"/>
    <w:rsid w:val="007E4723"/>
    <w:rsid w:val="007E53A2"/>
    <w:rsid w:val="007F4869"/>
    <w:rsid w:val="00800C33"/>
    <w:rsid w:val="00821A48"/>
    <w:rsid w:val="00832D6F"/>
    <w:rsid w:val="0083338F"/>
    <w:rsid w:val="00833501"/>
    <w:rsid w:val="008337C5"/>
    <w:rsid w:val="00843737"/>
    <w:rsid w:val="00853A15"/>
    <w:rsid w:val="008616F2"/>
    <w:rsid w:val="008637C0"/>
    <w:rsid w:val="00866E49"/>
    <w:rsid w:val="00885362"/>
    <w:rsid w:val="008968B9"/>
    <w:rsid w:val="00896D8C"/>
    <w:rsid w:val="008A280B"/>
    <w:rsid w:val="008A57F2"/>
    <w:rsid w:val="008B26A8"/>
    <w:rsid w:val="008B615E"/>
    <w:rsid w:val="008B7B37"/>
    <w:rsid w:val="008C0281"/>
    <w:rsid w:val="008C18AF"/>
    <w:rsid w:val="008C7EA0"/>
    <w:rsid w:val="008E290F"/>
    <w:rsid w:val="008E2A98"/>
    <w:rsid w:val="008E7DA2"/>
    <w:rsid w:val="00913CD6"/>
    <w:rsid w:val="009157CA"/>
    <w:rsid w:val="00921267"/>
    <w:rsid w:val="00926A73"/>
    <w:rsid w:val="0093186C"/>
    <w:rsid w:val="00934881"/>
    <w:rsid w:val="009349EB"/>
    <w:rsid w:val="0094189F"/>
    <w:rsid w:val="00944024"/>
    <w:rsid w:val="009522CD"/>
    <w:rsid w:val="00957A24"/>
    <w:rsid w:val="0097673D"/>
    <w:rsid w:val="00982C3A"/>
    <w:rsid w:val="00992EB6"/>
    <w:rsid w:val="009A42BC"/>
    <w:rsid w:val="009B179C"/>
    <w:rsid w:val="009B296F"/>
    <w:rsid w:val="009B6FD1"/>
    <w:rsid w:val="009C3807"/>
    <w:rsid w:val="009D4F65"/>
    <w:rsid w:val="009E175C"/>
    <w:rsid w:val="009F0E3A"/>
    <w:rsid w:val="009F2D14"/>
    <w:rsid w:val="009F57E3"/>
    <w:rsid w:val="009F5D3B"/>
    <w:rsid w:val="00A033A8"/>
    <w:rsid w:val="00A04DEF"/>
    <w:rsid w:val="00A10486"/>
    <w:rsid w:val="00A252FA"/>
    <w:rsid w:val="00A4018D"/>
    <w:rsid w:val="00A47167"/>
    <w:rsid w:val="00A6155F"/>
    <w:rsid w:val="00A63806"/>
    <w:rsid w:val="00A765F5"/>
    <w:rsid w:val="00A827F0"/>
    <w:rsid w:val="00AA5A48"/>
    <w:rsid w:val="00AA7391"/>
    <w:rsid w:val="00AB70C8"/>
    <w:rsid w:val="00AD549B"/>
    <w:rsid w:val="00AE2951"/>
    <w:rsid w:val="00AE775B"/>
    <w:rsid w:val="00AF01CD"/>
    <w:rsid w:val="00B01408"/>
    <w:rsid w:val="00B022CD"/>
    <w:rsid w:val="00B14779"/>
    <w:rsid w:val="00B3097D"/>
    <w:rsid w:val="00B4297C"/>
    <w:rsid w:val="00B4770E"/>
    <w:rsid w:val="00B62B9F"/>
    <w:rsid w:val="00B76DDF"/>
    <w:rsid w:val="00B80033"/>
    <w:rsid w:val="00BA02BD"/>
    <w:rsid w:val="00BA680D"/>
    <w:rsid w:val="00BD17E1"/>
    <w:rsid w:val="00BD20A1"/>
    <w:rsid w:val="00BE1182"/>
    <w:rsid w:val="00BE35F8"/>
    <w:rsid w:val="00BE6FB4"/>
    <w:rsid w:val="00BF11B5"/>
    <w:rsid w:val="00BF31D7"/>
    <w:rsid w:val="00BF35E5"/>
    <w:rsid w:val="00C05DB0"/>
    <w:rsid w:val="00C06640"/>
    <w:rsid w:val="00C072D8"/>
    <w:rsid w:val="00C124FD"/>
    <w:rsid w:val="00C23506"/>
    <w:rsid w:val="00C325FE"/>
    <w:rsid w:val="00C35F99"/>
    <w:rsid w:val="00C40C4B"/>
    <w:rsid w:val="00C50D42"/>
    <w:rsid w:val="00C63E37"/>
    <w:rsid w:val="00C736E0"/>
    <w:rsid w:val="00C756B7"/>
    <w:rsid w:val="00C75DCD"/>
    <w:rsid w:val="00C80D7F"/>
    <w:rsid w:val="00C8590C"/>
    <w:rsid w:val="00C86BBB"/>
    <w:rsid w:val="00C907D9"/>
    <w:rsid w:val="00C93275"/>
    <w:rsid w:val="00CA0F11"/>
    <w:rsid w:val="00CB6AD2"/>
    <w:rsid w:val="00CD19F2"/>
    <w:rsid w:val="00CD4444"/>
    <w:rsid w:val="00CD671E"/>
    <w:rsid w:val="00CD7DDF"/>
    <w:rsid w:val="00CF73CC"/>
    <w:rsid w:val="00D05039"/>
    <w:rsid w:val="00D23961"/>
    <w:rsid w:val="00D24496"/>
    <w:rsid w:val="00D27EDE"/>
    <w:rsid w:val="00D30C65"/>
    <w:rsid w:val="00D322AC"/>
    <w:rsid w:val="00D34FA0"/>
    <w:rsid w:val="00D37B85"/>
    <w:rsid w:val="00D4333F"/>
    <w:rsid w:val="00D47C83"/>
    <w:rsid w:val="00D52B88"/>
    <w:rsid w:val="00D54C18"/>
    <w:rsid w:val="00D57A17"/>
    <w:rsid w:val="00D6037F"/>
    <w:rsid w:val="00D615D1"/>
    <w:rsid w:val="00D654AC"/>
    <w:rsid w:val="00D6610B"/>
    <w:rsid w:val="00D675B1"/>
    <w:rsid w:val="00D67ABB"/>
    <w:rsid w:val="00D813FC"/>
    <w:rsid w:val="00D82289"/>
    <w:rsid w:val="00D919E7"/>
    <w:rsid w:val="00D93B4B"/>
    <w:rsid w:val="00DA5346"/>
    <w:rsid w:val="00DB191D"/>
    <w:rsid w:val="00DB4AB6"/>
    <w:rsid w:val="00DB5E93"/>
    <w:rsid w:val="00DC65F1"/>
    <w:rsid w:val="00DC73EE"/>
    <w:rsid w:val="00DD6FE2"/>
    <w:rsid w:val="00DE013B"/>
    <w:rsid w:val="00DE59E6"/>
    <w:rsid w:val="00DF4C1A"/>
    <w:rsid w:val="00E07B11"/>
    <w:rsid w:val="00E20FB0"/>
    <w:rsid w:val="00E22C17"/>
    <w:rsid w:val="00E2410D"/>
    <w:rsid w:val="00E30537"/>
    <w:rsid w:val="00E326FB"/>
    <w:rsid w:val="00E617F2"/>
    <w:rsid w:val="00E63CDA"/>
    <w:rsid w:val="00E7528D"/>
    <w:rsid w:val="00E877C1"/>
    <w:rsid w:val="00E91F7B"/>
    <w:rsid w:val="00E92117"/>
    <w:rsid w:val="00E94904"/>
    <w:rsid w:val="00E95B47"/>
    <w:rsid w:val="00E95C71"/>
    <w:rsid w:val="00EA18F6"/>
    <w:rsid w:val="00EB29A7"/>
    <w:rsid w:val="00EB3D40"/>
    <w:rsid w:val="00EB5BCD"/>
    <w:rsid w:val="00EC24A5"/>
    <w:rsid w:val="00ED13B3"/>
    <w:rsid w:val="00ED21DE"/>
    <w:rsid w:val="00EE6419"/>
    <w:rsid w:val="00EF1067"/>
    <w:rsid w:val="00EF3C05"/>
    <w:rsid w:val="00F06611"/>
    <w:rsid w:val="00F13074"/>
    <w:rsid w:val="00F200FB"/>
    <w:rsid w:val="00F26410"/>
    <w:rsid w:val="00F27C70"/>
    <w:rsid w:val="00F30AA9"/>
    <w:rsid w:val="00F31DBB"/>
    <w:rsid w:val="00F45684"/>
    <w:rsid w:val="00F46AAA"/>
    <w:rsid w:val="00F60498"/>
    <w:rsid w:val="00F60E99"/>
    <w:rsid w:val="00F62B6B"/>
    <w:rsid w:val="00F668EB"/>
    <w:rsid w:val="00F83660"/>
    <w:rsid w:val="00F919D2"/>
    <w:rsid w:val="00FA0D80"/>
    <w:rsid w:val="00FC5EF0"/>
    <w:rsid w:val="00FD4E6A"/>
    <w:rsid w:val="00FE0DBC"/>
    <w:rsid w:val="00FE3BF2"/>
    <w:rsid w:val="00FE574F"/>
    <w:rsid w:val="04641D01"/>
    <w:rsid w:val="065162C6"/>
    <w:rsid w:val="0C5F0DDD"/>
    <w:rsid w:val="11AD3915"/>
    <w:rsid w:val="162540E7"/>
    <w:rsid w:val="223D4DD6"/>
    <w:rsid w:val="3D27191B"/>
    <w:rsid w:val="55AC5FA1"/>
    <w:rsid w:val="61031794"/>
    <w:rsid w:val="6E8400CE"/>
    <w:rsid w:val="7B410F8B"/>
    <w:rsid w:val="7E4F0D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D1C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C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B6C4E"/>
    <w:rPr>
      <w:sz w:val="18"/>
      <w:szCs w:val="18"/>
    </w:rPr>
  </w:style>
  <w:style w:type="paragraph" w:styleId="a5">
    <w:name w:val="footer"/>
    <w:basedOn w:val="a"/>
    <w:link w:val="a6"/>
    <w:uiPriority w:val="99"/>
    <w:unhideWhenUsed/>
    <w:rsid w:val="002B6C4E"/>
    <w:pPr>
      <w:tabs>
        <w:tab w:val="center" w:pos="4153"/>
        <w:tab w:val="right" w:pos="8306"/>
      </w:tabs>
      <w:snapToGrid w:val="0"/>
      <w:jc w:val="left"/>
    </w:pPr>
    <w:rPr>
      <w:sz w:val="18"/>
      <w:szCs w:val="18"/>
    </w:rPr>
  </w:style>
  <w:style w:type="paragraph" w:styleId="a7">
    <w:name w:val="header"/>
    <w:basedOn w:val="a"/>
    <w:link w:val="a8"/>
    <w:uiPriority w:val="99"/>
    <w:unhideWhenUsed/>
    <w:rsid w:val="002B6C4E"/>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qFormat/>
    <w:rsid w:val="002B6C4E"/>
    <w:pPr>
      <w:spacing w:before="240" w:after="60" w:line="312" w:lineRule="auto"/>
      <w:jc w:val="center"/>
      <w:outlineLvl w:val="1"/>
    </w:pPr>
    <w:rPr>
      <w:rFonts w:asciiTheme="majorHAnsi" w:eastAsia="宋体" w:hAnsiTheme="majorHAnsi" w:cstheme="majorBidi"/>
      <w:b/>
      <w:bCs/>
      <w:kern w:val="28"/>
      <w:sz w:val="32"/>
      <w:szCs w:val="32"/>
    </w:rPr>
  </w:style>
  <w:style w:type="paragraph" w:customStyle="1" w:styleId="1">
    <w:name w:val="列出段落1"/>
    <w:basedOn w:val="a"/>
    <w:uiPriority w:val="34"/>
    <w:qFormat/>
    <w:rsid w:val="002B6C4E"/>
    <w:pPr>
      <w:ind w:firstLineChars="200" w:firstLine="420"/>
    </w:pPr>
  </w:style>
  <w:style w:type="character" w:customStyle="1" w:styleId="a8">
    <w:name w:val="页眉字符"/>
    <w:basedOn w:val="a0"/>
    <w:link w:val="a7"/>
    <w:uiPriority w:val="99"/>
    <w:rsid w:val="002B6C4E"/>
    <w:rPr>
      <w:sz w:val="18"/>
      <w:szCs w:val="18"/>
    </w:rPr>
  </w:style>
  <w:style w:type="character" w:customStyle="1" w:styleId="a6">
    <w:name w:val="页脚字符"/>
    <w:basedOn w:val="a0"/>
    <w:link w:val="a5"/>
    <w:uiPriority w:val="99"/>
    <w:qFormat/>
    <w:rsid w:val="002B6C4E"/>
    <w:rPr>
      <w:sz w:val="18"/>
      <w:szCs w:val="18"/>
    </w:rPr>
  </w:style>
  <w:style w:type="character" w:customStyle="1" w:styleId="aa">
    <w:name w:val="副标题字符"/>
    <w:basedOn w:val="a0"/>
    <w:link w:val="a9"/>
    <w:qFormat/>
    <w:rsid w:val="002B6C4E"/>
    <w:rPr>
      <w:rFonts w:asciiTheme="majorHAnsi" w:eastAsia="宋体" w:hAnsiTheme="majorHAnsi" w:cstheme="majorBidi"/>
      <w:b/>
      <w:bCs/>
      <w:kern w:val="28"/>
      <w:sz w:val="32"/>
      <w:szCs w:val="32"/>
    </w:rPr>
  </w:style>
  <w:style w:type="character" w:customStyle="1" w:styleId="a4">
    <w:name w:val="批注框文本字符"/>
    <w:basedOn w:val="a0"/>
    <w:link w:val="a3"/>
    <w:uiPriority w:val="99"/>
    <w:semiHidden/>
    <w:qFormat/>
    <w:rsid w:val="002B6C4E"/>
    <w:rPr>
      <w:sz w:val="18"/>
      <w:szCs w:val="18"/>
    </w:rPr>
  </w:style>
  <w:style w:type="paragraph" w:customStyle="1" w:styleId="10">
    <w:name w:val="修订1"/>
    <w:hidden/>
    <w:uiPriority w:val="99"/>
    <w:semiHidden/>
    <w:qFormat/>
    <w:rsid w:val="002B6C4E"/>
    <w:rPr>
      <w:kern w:val="2"/>
      <w:sz w:val="21"/>
      <w:szCs w:val="22"/>
    </w:rPr>
  </w:style>
  <w:style w:type="paragraph" w:styleId="ab">
    <w:name w:val="List Paragraph"/>
    <w:basedOn w:val="a"/>
    <w:uiPriority w:val="99"/>
    <w:unhideWhenUsed/>
    <w:rsid w:val="00D05039"/>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qFormat/>
    <w:pPr>
      <w:spacing w:before="240" w:after="60" w:line="312" w:lineRule="auto"/>
      <w:jc w:val="center"/>
      <w:outlineLvl w:val="1"/>
    </w:pPr>
    <w:rPr>
      <w:rFonts w:asciiTheme="majorHAnsi" w:eastAsia="宋体" w:hAnsiTheme="majorHAnsi" w:cstheme="majorBidi"/>
      <w:b/>
      <w:bCs/>
      <w:kern w:val="28"/>
      <w:sz w:val="32"/>
      <w:szCs w:val="32"/>
    </w:rPr>
  </w:style>
  <w:style w:type="paragraph" w:customStyle="1" w:styleId="1">
    <w:name w:val="列出段落1"/>
    <w:basedOn w:val="a"/>
    <w:uiPriority w:val="34"/>
    <w:qFormat/>
    <w:pPr>
      <w:ind w:firstLineChars="200" w:firstLine="420"/>
    </w:p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qFormat/>
    <w:rPr>
      <w:sz w:val="18"/>
      <w:szCs w:val="18"/>
    </w:rPr>
  </w:style>
  <w:style w:type="character" w:customStyle="1" w:styleId="aa">
    <w:name w:val="副标题字符"/>
    <w:basedOn w:val="a0"/>
    <w:link w:val="a9"/>
    <w:qFormat/>
    <w:rPr>
      <w:rFonts w:asciiTheme="majorHAnsi" w:eastAsia="宋体" w:hAnsiTheme="majorHAnsi" w:cstheme="majorBidi"/>
      <w:b/>
      <w:bCs/>
      <w:kern w:val="28"/>
      <w:sz w:val="32"/>
      <w:szCs w:val="32"/>
    </w:rPr>
  </w:style>
  <w:style w:type="character" w:customStyle="1" w:styleId="a4">
    <w:name w:val="批注框文本字符"/>
    <w:basedOn w:val="a0"/>
    <w:link w:val="a3"/>
    <w:uiPriority w:val="99"/>
    <w:semiHidden/>
    <w:qFormat/>
    <w:rPr>
      <w:sz w:val="18"/>
      <w:szCs w:val="18"/>
    </w:rPr>
  </w:style>
  <w:style w:type="paragraph" w:customStyle="1" w:styleId="10">
    <w:name w:val="修订1"/>
    <w:hidden/>
    <w:uiPriority w:val="99"/>
    <w:semiHidden/>
    <w:qFormat/>
    <w:rPr>
      <w:kern w:val="2"/>
      <w:sz w:val="21"/>
      <w:szCs w:val="22"/>
    </w:rPr>
  </w:style>
  <w:style w:type="paragraph" w:styleId="ab">
    <w:name w:val="List Paragraph"/>
    <w:basedOn w:val="a"/>
    <w:uiPriority w:val="99"/>
    <w:unhideWhenUsed/>
    <w:rsid w:val="00D050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D7BD6-558B-0C48-88FB-B48AE267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201</Words>
  <Characters>1147</Characters>
  <Application>Microsoft Macintosh Word</Application>
  <DocSecurity>0</DocSecurity>
  <Lines>9</Lines>
  <Paragraphs>2</Paragraphs>
  <ScaleCrop>false</ScaleCrop>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董煜涛</dc:creator>
  <cp:lastModifiedBy>雅琴 王</cp:lastModifiedBy>
  <cp:revision>125</cp:revision>
  <cp:lastPrinted>2015-03-20T13:37:00Z</cp:lastPrinted>
  <dcterms:created xsi:type="dcterms:W3CDTF">2015-04-17T01:08:00Z</dcterms:created>
  <dcterms:modified xsi:type="dcterms:W3CDTF">2017-09-21T04:04:00Z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